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C27C4A" w14:textId="24D7E638" w:rsidR="006B42FF" w:rsidRDefault="00BF3502" w:rsidP="003330F0">
      <w:pPr>
        <w:pStyle w:val="Nzov"/>
        <w:jc w:val="center"/>
      </w:pPr>
      <w:r>
        <w:t>Informácie k obratovému nájomnému</w:t>
      </w:r>
      <w:r w:rsidR="003330F0">
        <w:t xml:space="preserve"> počas konania akcie Trnavský jarmok 2026</w:t>
      </w:r>
    </w:p>
    <w:p w14:paraId="415C8FC7" w14:textId="77777777" w:rsidR="00BF3502" w:rsidRDefault="00BF3502" w:rsidP="00D44224"/>
    <w:p w14:paraId="251AC6E4" w14:textId="3DF4C060" w:rsidR="00BF3502" w:rsidRDefault="00A7058D" w:rsidP="00D44224">
      <w:r>
        <w:t xml:space="preserve">V zmysle schváleného uznesenia </w:t>
      </w:r>
      <w:r w:rsidR="002E6783">
        <w:t xml:space="preserve">MZ č. 988/2026 zo dňa 10.02.2026 a uznesenia </w:t>
      </w:r>
      <w:r w:rsidR="00D61ACD">
        <w:br/>
      </w:r>
      <w:r w:rsidR="008E22AB">
        <w:t xml:space="preserve">MZ č. </w:t>
      </w:r>
      <w:r w:rsidR="009B3BE3">
        <w:t>1062/2026 zo dňa 28.04.2026</w:t>
      </w:r>
      <w:r w:rsidR="003330F0">
        <w:t xml:space="preserve"> k akcii Trnavský jarmok 2026</w:t>
      </w:r>
      <w:r w:rsidR="00952ACE">
        <w:t xml:space="preserve"> informácie k obratovému nájomné</w:t>
      </w:r>
      <w:r w:rsidR="00D61ACD">
        <w:t>mu</w:t>
      </w:r>
      <w:r w:rsidR="00952ACE">
        <w:t xml:space="preserve"> </w:t>
      </w:r>
    </w:p>
    <w:p w14:paraId="72AF6ABB" w14:textId="77777777" w:rsidR="00607E60" w:rsidRDefault="00607E60" w:rsidP="00607E60">
      <w:pPr>
        <w:rPr>
          <w:rFonts w:cs="Arial"/>
          <w:b/>
          <w:bCs/>
        </w:rPr>
      </w:pPr>
      <w:r w:rsidRPr="00607E60">
        <w:rPr>
          <w:rFonts w:cs="Arial"/>
          <w:b/>
          <w:bCs/>
        </w:rPr>
        <w:t xml:space="preserve">Špecifické podmienky pre predajcov občerstvenia – jedlá a nápoje na priamu konzumáciu v </w:t>
      </w:r>
      <w:proofErr w:type="spellStart"/>
      <w:r w:rsidRPr="00607E60">
        <w:rPr>
          <w:rFonts w:cs="Arial"/>
          <w:b/>
          <w:bCs/>
        </w:rPr>
        <w:t>gastro</w:t>
      </w:r>
      <w:proofErr w:type="spellEnd"/>
      <w:r w:rsidRPr="00607E60">
        <w:rPr>
          <w:rFonts w:cs="Arial"/>
          <w:b/>
          <w:bCs/>
        </w:rPr>
        <w:t xml:space="preserve"> zónach (kategória I./1), drobného </w:t>
      </w:r>
      <w:proofErr w:type="spellStart"/>
      <w:r w:rsidRPr="00607E60">
        <w:rPr>
          <w:rFonts w:cs="Arial"/>
          <w:b/>
          <w:bCs/>
        </w:rPr>
        <w:t>gastra</w:t>
      </w:r>
      <w:proofErr w:type="spellEnd"/>
      <w:r w:rsidRPr="00607E60">
        <w:rPr>
          <w:rFonts w:cs="Arial"/>
          <w:b/>
          <w:bCs/>
        </w:rPr>
        <w:t xml:space="preserve"> – mix v jednom stánku (kategória I./2) a drobného </w:t>
      </w:r>
      <w:proofErr w:type="spellStart"/>
      <w:r w:rsidRPr="00607E60">
        <w:rPr>
          <w:rFonts w:cs="Arial"/>
          <w:b/>
          <w:bCs/>
        </w:rPr>
        <w:t>gastra</w:t>
      </w:r>
      <w:proofErr w:type="spellEnd"/>
      <w:r w:rsidRPr="00607E60">
        <w:rPr>
          <w:rFonts w:cs="Arial"/>
          <w:b/>
          <w:bCs/>
        </w:rPr>
        <w:t xml:space="preserve"> – jednotlivo jeden sortiment v jednom stánku (kategória I./3)</w:t>
      </w:r>
    </w:p>
    <w:p w14:paraId="04C221E2" w14:textId="77777777" w:rsidR="00B242C1" w:rsidRPr="00607E60" w:rsidRDefault="00B242C1" w:rsidP="00607E60">
      <w:pPr>
        <w:rPr>
          <w:rFonts w:cs="Arial"/>
          <w:b/>
          <w:bCs/>
        </w:rPr>
      </w:pPr>
    </w:p>
    <w:p w14:paraId="4E9E715B" w14:textId="77777777" w:rsidR="00607E60" w:rsidRPr="00607E60" w:rsidRDefault="00607E60" w:rsidP="00B242C1">
      <w:pPr>
        <w:numPr>
          <w:ilvl w:val="0"/>
          <w:numId w:val="8"/>
        </w:numPr>
        <w:rPr>
          <w:rFonts w:cs="Arial"/>
        </w:rPr>
      </w:pPr>
      <w:r w:rsidRPr="00607E60">
        <w:rPr>
          <w:rFonts w:cs="Arial"/>
          <w:b/>
          <w:bCs/>
        </w:rPr>
        <w:t>Fixná zložka platby za účasť</w:t>
      </w:r>
    </w:p>
    <w:p w14:paraId="2F6F9FC7" w14:textId="77777777" w:rsidR="00607E60" w:rsidRPr="00B242C1" w:rsidRDefault="00607E60" w:rsidP="00B242C1">
      <w:pPr>
        <w:pStyle w:val="Odsekzoznamu"/>
        <w:rPr>
          <w:rFonts w:cs="Arial"/>
        </w:rPr>
      </w:pPr>
      <w:r w:rsidRPr="00B242C1">
        <w:rPr>
          <w:rFonts w:cs="Arial"/>
        </w:rPr>
        <w:t>Fixná zložka platby za účasť predajcu v stánku s rozmermi 3 × 3 m je stanovená v Cenníku úhrad za účasť na akcii Trnavský jarmok 2026 v bode I./1 až I./3 podľa predávaného sortimentu a vzťahuje sa na celé obdobie konania podujatia.</w:t>
      </w:r>
    </w:p>
    <w:p w14:paraId="68516876" w14:textId="77777777" w:rsidR="00607E60" w:rsidRPr="00607E60" w:rsidRDefault="00607E60" w:rsidP="00B242C1">
      <w:pPr>
        <w:numPr>
          <w:ilvl w:val="0"/>
          <w:numId w:val="8"/>
        </w:numPr>
        <w:rPr>
          <w:rFonts w:cs="Arial"/>
        </w:rPr>
      </w:pPr>
      <w:r w:rsidRPr="00607E60">
        <w:rPr>
          <w:rFonts w:cs="Arial"/>
          <w:b/>
          <w:bCs/>
        </w:rPr>
        <w:t>Obratová zložka platby</w:t>
      </w:r>
    </w:p>
    <w:p w14:paraId="16216889" w14:textId="77777777" w:rsidR="00607E60" w:rsidRPr="00B242C1" w:rsidRDefault="00607E60" w:rsidP="00B242C1">
      <w:pPr>
        <w:pStyle w:val="Odsekzoznamu"/>
        <w:rPr>
          <w:rFonts w:cs="Arial"/>
        </w:rPr>
      </w:pPr>
      <w:r w:rsidRPr="00B242C1">
        <w:rPr>
          <w:rFonts w:cs="Arial"/>
        </w:rPr>
        <w:t>Predajca je povinný uhradiť organizátorovi obratovú zložku platby vo výške 5 % z tej časti obratu, ktorá presiahne sumu uvedenú v Cenníku úhrad za účasť na akcii Trnavský jarmok 2026 v bode I./1 až I./3 podľa predávaného sortimentu za celé obdobie trvania podujatia.</w:t>
      </w:r>
    </w:p>
    <w:p w14:paraId="1AB4184D" w14:textId="77777777" w:rsidR="00607E60" w:rsidRPr="00607E60" w:rsidRDefault="00607E60" w:rsidP="00B242C1">
      <w:pPr>
        <w:numPr>
          <w:ilvl w:val="0"/>
          <w:numId w:val="8"/>
        </w:numPr>
        <w:rPr>
          <w:rFonts w:cs="Arial"/>
        </w:rPr>
      </w:pPr>
      <w:r w:rsidRPr="00607E60">
        <w:rPr>
          <w:rFonts w:cs="Arial"/>
          <w:b/>
          <w:bCs/>
        </w:rPr>
        <w:t>Dokladovanie obratu</w:t>
      </w:r>
    </w:p>
    <w:p w14:paraId="0A151539" w14:textId="77777777" w:rsidR="00607E60" w:rsidRPr="00B242C1" w:rsidRDefault="00607E60" w:rsidP="00B242C1">
      <w:pPr>
        <w:pStyle w:val="Odsekzoznamu"/>
        <w:rPr>
          <w:rFonts w:cs="Arial"/>
        </w:rPr>
      </w:pPr>
      <w:r w:rsidRPr="00B242C1">
        <w:rPr>
          <w:rFonts w:cs="Arial"/>
        </w:rPr>
        <w:t xml:space="preserve">Predajca je povinný doručiť organizátorovi najneskôr do 5 dní od skončenia podujatia, t. j. do 22. 9. 2026, písomný doklad o dosiahnutom obrate, najmä denné uzávierky </w:t>
      </w:r>
      <w:proofErr w:type="spellStart"/>
      <w:r w:rsidRPr="00B242C1">
        <w:rPr>
          <w:rFonts w:cs="Arial"/>
        </w:rPr>
        <w:t>eKasa</w:t>
      </w:r>
      <w:proofErr w:type="spellEnd"/>
      <w:r w:rsidRPr="00B242C1">
        <w:rPr>
          <w:rFonts w:cs="Arial"/>
        </w:rPr>
        <w:t>, uzávierky registračnej pokladnice, pokladničné vyúčtovanie alebo iný preukázateľný účtovný doklad.</w:t>
      </w:r>
    </w:p>
    <w:p w14:paraId="65DBD79D" w14:textId="77777777" w:rsidR="00607E60" w:rsidRPr="00607E60" w:rsidRDefault="00607E60" w:rsidP="00B242C1">
      <w:pPr>
        <w:numPr>
          <w:ilvl w:val="0"/>
          <w:numId w:val="8"/>
        </w:numPr>
        <w:rPr>
          <w:rFonts w:cs="Arial"/>
        </w:rPr>
      </w:pPr>
      <w:r w:rsidRPr="00607E60">
        <w:rPr>
          <w:rFonts w:cs="Arial"/>
          <w:b/>
          <w:bCs/>
        </w:rPr>
        <w:t>Vymedzenie obratu</w:t>
      </w:r>
    </w:p>
    <w:p w14:paraId="3DEB8CCF" w14:textId="77777777" w:rsidR="00607E60" w:rsidRDefault="00607E60" w:rsidP="00B242C1">
      <w:pPr>
        <w:pStyle w:val="Odsekzoznamu"/>
        <w:rPr>
          <w:rFonts w:cs="Arial"/>
        </w:rPr>
      </w:pPr>
      <w:r w:rsidRPr="00B242C1">
        <w:rPr>
          <w:rFonts w:cs="Arial"/>
        </w:rPr>
        <w:t xml:space="preserve">Obratom na účely výpočtu obratovej zložky platby sa rozumie súčet všetkých tržieb evidovaných prostredníctvom pokladníc, </w:t>
      </w:r>
      <w:proofErr w:type="spellStart"/>
      <w:r w:rsidRPr="00B242C1">
        <w:rPr>
          <w:rFonts w:cs="Arial"/>
        </w:rPr>
        <w:t>eKasa</w:t>
      </w:r>
      <w:proofErr w:type="spellEnd"/>
      <w:r w:rsidRPr="00B242C1">
        <w:rPr>
          <w:rFonts w:cs="Arial"/>
        </w:rPr>
        <w:t xml:space="preserve"> zariadení a platobných terminálov použitých predajcom počas podujatia Trnavský jarmok 2026 v rámci prideleného predajného miesta, vrátane pokladníc, </w:t>
      </w:r>
      <w:proofErr w:type="spellStart"/>
      <w:r w:rsidRPr="00B242C1">
        <w:rPr>
          <w:rFonts w:cs="Arial"/>
        </w:rPr>
        <w:t>eKasa</w:t>
      </w:r>
      <w:proofErr w:type="spellEnd"/>
      <w:r w:rsidRPr="00B242C1">
        <w:rPr>
          <w:rFonts w:cs="Arial"/>
        </w:rPr>
        <w:t xml:space="preserve"> zariadení a platobných terminálov tretích osôb použitých v jeho mene.</w:t>
      </w:r>
    </w:p>
    <w:p w14:paraId="06882EAD" w14:textId="77777777" w:rsidR="00164237" w:rsidRDefault="00164237" w:rsidP="00B242C1">
      <w:pPr>
        <w:pStyle w:val="Odsekzoznamu"/>
        <w:rPr>
          <w:rFonts w:cs="Arial"/>
        </w:rPr>
      </w:pPr>
    </w:p>
    <w:p w14:paraId="33390F00" w14:textId="77777777" w:rsidR="00164237" w:rsidRPr="00B242C1" w:rsidRDefault="00164237" w:rsidP="00B242C1">
      <w:pPr>
        <w:pStyle w:val="Odsekzoznamu"/>
        <w:rPr>
          <w:rFonts w:cs="Arial"/>
        </w:rPr>
      </w:pPr>
    </w:p>
    <w:p w14:paraId="1085B4D3" w14:textId="77777777" w:rsidR="00607E60" w:rsidRPr="00607E60" w:rsidRDefault="00607E60" w:rsidP="00B242C1">
      <w:pPr>
        <w:numPr>
          <w:ilvl w:val="0"/>
          <w:numId w:val="8"/>
        </w:numPr>
        <w:rPr>
          <w:rFonts w:cs="Arial"/>
        </w:rPr>
      </w:pPr>
      <w:r w:rsidRPr="00607E60">
        <w:rPr>
          <w:rFonts w:cs="Arial"/>
          <w:b/>
          <w:bCs/>
        </w:rPr>
        <w:t>Oznámenie o výške obratovej zložky platby</w:t>
      </w:r>
    </w:p>
    <w:p w14:paraId="7476AB09" w14:textId="77777777" w:rsidR="00607E60" w:rsidRPr="00B242C1" w:rsidRDefault="00607E60" w:rsidP="00B242C1">
      <w:pPr>
        <w:pStyle w:val="Odsekzoznamu"/>
        <w:rPr>
          <w:rFonts w:cs="Arial"/>
        </w:rPr>
      </w:pPr>
      <w:r w:rsidRPr="00B242C1">
        <w:rPr>
          <w:rFonts w:cs="Arial"/>
        </w:rPr>
        <w:t>Na základe predložených dokladov o dosiahnutom obrate organizátor vyhotoví a doručí predajcovi písomné oznámenie o výške obratovej zložky platby a spôsobe jej úhrady. Organizátor doručí oznámenie len v prípade, ak predajcovi vznikne povinnosť uhradiť obratovú zložku platby.</w:t>
      </w:r>
    </w:p>
    <w:p w14:paraId="078C74CE" w14:textId="77777777" w:rsidR="00607E60" w:rsidRPr="00607E60" w:rsidRDefault="00607E60" w:rsidP="00B242C1">
      <w:pPr>
        <w:numPr>
          <w:ilvl w:val="0"/>
          <w:numId w:val="8"/>
        </w:numPr>
        <w:rPr>
          <w:rFonts w:cs="Arial"/>
        </w:rPr>
      </w:pPr>
      <w:r w:rsidRPr="00607E60">
        <w:rPr>
          <w:rFonts w:cs="Arial"/>
          <w:b/>
          <w:bCs/>
        </w:rPr>
        <w:t>Zábezpeka</w:t>
      </w:r>
    </w:p>
    <w:p w14:paraId="3269B21E" w14:textId="77777777" w:rsidR="00607E60" w:rsidRPr="00B242C1" w:rsidRDefault="00607E60" w:rsidP="00B242C1">
      <w:pPr>
        <w:pStyle w:val="Odsekzoznamu"/>
        <w:rPr>
          <w:rFonts w:cs="Arial"/>
        </w:rPr>
      </w:pPr>
      <w:r w:rsidRPr="00B242C1">
        <w:rPr>
          <w:rFonts w:cs="Arial"/>
        </w:rPr>
        <w:t>Podmienkou účasti predajcu na podujatí je zloženie zábezpeky vo výške stanovenej v Cenníku úhrad za účasť na akcii Trnavský jarmok 2026 v bode V/6, splatnej spolu s fixnou zložkou platby.</w:t>
      </w:r>
    </w:p>
    <w:p w14:paraId="1BE2F3FB" w14:textId="77777777" w:rsidR="00607E60" w:rsidRPr="00B242C1" w:rsidRDefault="00607E60" w:rsidP="00B242C1">
      <w:pPr>
        <w:pStyle w:val="Odsekzoznamu"/>
        <w:rPr>
          <w:rFonts w:cs="Arial"/>
        </w:rPr>
      </w:pPr>
      <w:r w:rsidRPr="00B242C1">
        <w:rPr>
          <w:rFonts w:cs="Arial"/>
        </w:rPr>
        <w:t>Zábezpeka bude predajcovi vrátená do 10 dní od doručenia dokladov podľa bodu 71 písm. c) Organizačného zabezpečenia. Ak predajcovi vznikne povinnosť uhradiť obratovú zložku platby, zábezpeka bude vrátená do 10 dní od pripísania úhrady obratovej zložky platby na účet organizátora.</w:t>
      </w:r>
    </w:p>
    <w:p w14:paraId="6CB697CF" w14:textId="77777777" w:rsidR="00607E60" w:rsidRPr="00607E60" w:rsidRDefault="00607E60" w:rsidP="00B242C1">
      <w:pPr>
        <w:numPr>
          <w:ilvl w:val="0"/>
          <w:numId w:val="8"/>
        </w:numPr>
        <w:rPr>
          <w:rFonts w:cs="Arial"/>
        </w:rPr>
      </w:pPr>
      <w:r w:rsidRPr="00607E60">
        <w:rPr>
          <w:rFonts w:cs="Arial"/>
          <w:b/>
          <w:bCs/>
        </w:rPr>
        <w:t>Sankcia za nedokladovanie obratu</w:t>
      </w:r>
    </w:p>
    <w:p w14:paraId="33EABFCF" w14:textId="77777777" w:rsidR="00607E60" w:rsidRPr="00B242C1" w:rsidRDefault="00607E60" w:rsidP="00B242C1">
      <w:pPr>
        <w:pStyle w:val="Odsekzoznamu"/>
        <w:rPr>
          <w:rFonts w:cs="Arial"/>
        </w:rPr>
      </w:pPr>
      <w:r w:rsidRPr="00B242C1">
        <w:rPr>
          <w:rFonts w:cs="Arial"/>
        </w:rPr>
        <w:t>Ak si predajca nesplní povinnosť predložiť doklady podľa bodu 71 písm. c) Organizačného zabezpečenia riadne a v stanovenej lehote, zložená zábezpeka prepadá v prospech organizátora.</w:t>
      </w:r>
    </w:p>
    <w:p w14:paraId="4FCD3959" w14:textId="77777777" w:rsidR="00607E60" w:rsidRPr="00607E60" w:rsidRDefault="00607E60" w:rsidP="00B242C1">
      <w:pPr>
        <w:numPr>
          <w:ilvl w:val="0"/>
          <w:numId w:val="8"/>
        </w:numPr>
        <w:rPr>
          <w:rFonts w:cs="Arial"/>
        </w:rPr>
      </w:pPr>
      <w:r w:rsidRPr="00607E60">
        <w:rPr>
          <w:rFonts w:cs="Arial"/>
          <w:b/>
          <w:bCs/>
        </w:rPr>
        <w:t>Následky porušenia povinností</w:t>
      </w:r>
    </w:p>
    <w:p w14:paraId="0F1DDA4F" w14:textId="77777777" w:rsidR="00607E60" w:rsidRPr="00B242C1" w:rsidRDefault="00607E60" w:rsidP="00B242C1">
      <w:pPr>
        <w:pStyle w:val="Odsekzoznamu"/>
        <w:rPr>
          <w:rFonts w:cs="Arial"/>
        </w:rPr>
      </w:pPr>
      <w:r w:rsidRPr="00B242C1">
        <w:rPr>
          <w:rFonts w:cs="Arial"/>
        </w:rPr>
        <w:t>V prípade porušenia povinností podľa bodu 71 písm. c) Organizačného zabezpečenia si organizátor vyhradzuje právo neprihliadať na žiadosť predajcu o účasť na podujatiach organizovaných mestom a nezaradiť takúto žiadosť do výberu predajcov po dobu 18 mesiacov odo dňa skončenia podujatia, počas ktorého došlo k porušeniu povinnosti.</w:t>
      </w:r>
    </w:p>
    <w:p w14:paraId="074CCD6A" w14:textId="77777777" w:rsidR="00607E60" w:rsidRPr="00607E60" w:rsidRDefault="00607E60" w:rsidP="00B242C1">
      <w:pPr>
        <w:numPr>
          <w:ilvl w:val="0"/>
          <w:numId w:val="8"/>
        </w:numPr>
        <w:rPr>
          <w:rFonts w:cs="Arial"/>
        </w:rPr>
      </w:pPr>
      <w:r w:rsidRPr="00607E60">
        <w:rPr>
          <w:rFonts w:cs="Arial"/>
          <w:b/>
          <w:bCs/>
        </w:rPr>
        <w:t>Oznamovacia povinnosť pri zmene pokladnice</w:t>
      </w:r>
    </w:p>
    <w:p w14:paraId="2870FE47" w14:textId="77777777" w:rsidR="00607E60" w:rsidRPr="00B242C1" w:rsidRDefault="00607E60" w:rsidP="00B242C1">
      <w:pPr>
        <w:pStyle w:val="Odsekzoznamu"/>
        <w:rPr>
          <w:rFonts w:cs="Arial"/>
        </w:rPr>
      </w:pPr>
      <w:r w:rsidRPr="00B242C1">
        <w:rPr>
          <w:rFonts w:cs="Arial"/>
        </w:rPr>
        <w:t xml:space="preserve">Predajca je povinný bezodkladne oznámiť organizátorovi každú zmenu pokladnice, </w:t>
      </w:r>
      <w:proofErr w:type="spellStart"/>
      <w:r w:rsidRPr="00B242C1">
        <w:rPr>
          <w:rFonts w:cs="Arial"/>
        </w:rPr>
        <w:t>eKasa</w:t>
      </w:r>
      <w:proofErr w:type="spellEnd"/>
      <w:r w:rsidRPr="00B242C1">
        <w:rPr>
          <w:rFonts w:cs="Arial"/>
        </w:rPr>
        <w:t xml:space="preserve"> zariadenia alebo platobného terminálu oproti údajom uvedeným v prihláške a zároveň poskytnúť identifikačné údaje používaných zariadení.</w:t>
      </w:r>
    </w:p>
    <w:p w14:paraId="11D7A810" w14:textId="77777777" w:rsidR="00607E60" w:rsidRPr="00607E60" w:rsidRDefault="00607E60" w:rsidP="00B242C1">
      <w:pPr>
        <w:numPr>
          <w:ilvl w:val="0"/>
          <w:numId w:val="8"/>
        </w:numPr>
        <w:rPr>
          <w:rFonts w:cs="Arial"/>
        </w:rPr>
      </w:pPr>
      <w:r w:rsidRPr="00607E60">
        <w:rPr>
          <w:rFonts w:cs="Arial"/>
          <w:b/>
          <w:bCs/>
        </w:rPr>
        <w:t>Použitie nenahlásenej pokladnice</w:t>
      </w:r>
    </w:p>
    <w:p w14:paraId="19571F1E" w14:textId="77777777" w:rsidR="00607E60" w:rsidRPr="00B242C1" w:rsidRDefault="00607E60" w:rsidP="00B242C1">
      <w:pPr>
        <w:pStyle w:val="Odsekzoznamu"/>
        <w:rPr>
          <w:rFonts w:cs="Arial"/>
        </w:rPr>
      </w:pPr>
      <w:r w:rsidRPr="00B242C1">
        <w:rPr>
          <w:rFonts w:cs="Arial"/>
        </w:rPr>
        <w:t xml:space="preserve">Použitie nenahlásenej pokladnice, </w:t>
      </w:r>
      <w:proofErr w:type="spellStart"/>
      <w:r w:rsidRPr="00B242C1">
        <w:rPr>
          <w:rFonts w:cs="Arial"/>
        </w:rPr>
        <w:t>eKasa</w:t>
      </w:r>
      <w:proofErr w:type="spellEnd"/>
      <w:r w:rsidRPr="00B242C1">
        <w:rPr>
          <w:rFonts w:cs="Arial"/>
        </w:rPr>
        <w:t xml:space="preserve"> zariadenia alebo platobného terminálu sa považuje za porušenie Organizačného zabezpečenia Trnavského jarmoku 2026. V takom prípade zložená zábezpeka prepadá v prospech organizátora a organizátor je oprávnený neprihliadať na žiadosť predajcu o účasť na podujatiach organizovaných mestom a nezaradiť ju do výberu predajcov po dobu 18 mesiacov odo dňa skončenia podujatia, počas ktorého došlo k porušeniu povinnosti.</w:t>
      </w:r>
    </w:p>
    <w:p w14:paraId="3E51894E" w14:textId="77777777" w:rsidR="00607E60" w:rsidRPr="00607E60" w:rsidRDefault="00607E60" w:rsidP="00B242C1">
      <w:pPr>
        <w:numPr>
          <w:ilvl w:val="0"/>
          <w:numId w:val="8"/>
        </w:numPr>
        <w:rPr>
          <w:rFonts w:cs="Arial"/>
        </w:rPr>
      </w:pPr>
      <w:r w:rsidRPr="00607E60">
        <w:rPr>
          <w:rFonts w:cs="Arial"/>
          <w:b/>
          <w:bCs/>
        </w:rPr>
        <w:lastRenderedPageBreak/>
        <w:t>Súčinnosť pri preverovaní obratu</w:t>
      </w:r>
    </w:p>
    <w:p w14:paraId="590D5325" w14:textId="77777777" w:rsidR="00607E60" w:rsidRPr="00B242C1" w:rsidRDefault="00607E60" w:rsidP="00B242C1">
      <w:pPr>
        <w:pStyle w:val="Odsekzoznamu"/>
        <w:rPr>
          <w:rFonts w:cs="Arial"/>
        </w:rPr>
      </w:pPr>
      <w:r w:rsidRPr="00B242C1">
        <w:rPr>
          <w:rFonts w:cs="Arial"/>
        </w:rPr>
        <w:t>Predajca sa zaväzuje bez zbytočného odkladu poskytnúť organizátorovi všetky písomne vyžiadané informácie a podklady potrebné na preverenie správnosti nahláseného obratu.</w:t>
      </w:r>
    </w:p>
    <w:p w14:paraId="6F3B9C2A" w14:textId="77777777" w:rsidR="00607E60" w:rsidRPr="00607E60" w:rsidRDefault="00607E60" w:rsidP="00B242C1">
      <w:pPr>
        <w:numPr>
          <w:ilvl w:val="0"/>
          <w:numId w:val="8"/>
        </w:numPr>
        <w:rPr>
          <w:rFonts w:cs="Arial"/>
        </w:rPr>
      </w:pPr>
      <w:r w:rsidRPr="00607E60">
        <w:rPr>
          <w:rFonts w:cs="Arial"/>
          <w:b/>
          <w:bCs/>
        </w:rPr>
        <w:t>Kontrola obratu</w:t>
      </w:r>
    </w:p>
    <w:p w14:paraId="5CE2DC69" w14:textId="77777777" w:rsidR="00607E60" w:rsidRPr="00B242C1" w:rsidRDefault="00607E60" w:rsidP="00B242C1">
      <w:pPr>
        <w:pStyle w:val="Odsekzoznamu"/>
        <w:rPr>
          <w:rFonts w:cs="Arial"/>
        </w:rPr>
      </w:pPr>
      <w:r w:rsidRPr="00B242C1">
        <w:rPr>
          <w:rFonts w:cs="Arial"/>
        </w:rPr>
        <w:t>Organizátor je oprávnený poveriť audítora, daňového poradcu alebo advokáta preverovaním správnosti nahláseného obratu, vrátane nahliadnutia do účtovných a iných súvisiacich dokladov predajcu. Ak kontrola preukáže, že predajcom nahlásený obrat bol nesprávny alebo neúplný, predajca je povinný uhradiť organizátorovi všetky účelne vynaložené náklady spojené s vykonaním kontroly.</w:t>
      </w:r>
    </w:p>
    <w:p w14:paraId="062E8A61" w14:textId="77777777" w:rsidR="00607E60" w:rsidRPr="00607E60" w:rsidRDefault="00607E60" w:rsidP="00B242C1">
      <w:pPr>
        <w:numPr>
          <w:ilvl w:val="0"/>
          <w:numId w:val="8"/>
        </w:numPr>
        <w:rPr>
          <w:rFonts w:cs="Arial"/>
        </w:rPr>
      </w:pPr>
      <w:r w:rsidRPr="00607E60">
        <w:rPr>
          <w:rFonts w:cs="Arial"/>
          <w:b/>
          <w:bCs/>
        </w:rPr>
        <w:t>Dôvernosť údajov</w:t>
      </w:r>
    </w:p>
    <w:p w14:paraId="427F63BC" w14:textId="77777777" w:rsidR="00607E60" w:rsidRPr="00B242C1" w:rsidRDefault="00607E60" w:rsidP="00B242C1">
      <w:pPr>
        <w:pStyle w:val="Odsekzoznamu"/>
        <w:rPr>
          <w:rFonts w:cs="Arial"/>
        </w:rPr>
      </w:pPr>
      <w:r w:rsidRPr="00B242C1">
        <w:rPr>
          <w:rFonts w:cs="Arial"/>
        </w:rPr>
        <w:t>Organizátor sa zaväzuje používať údaje o obratoch predajcu výlučne na účely výpočtu a kontroly obratovej zložky platby a zaobchádzať s nimi ako s dôvernými informáciami v súlade s platnými právnymi predpismi.</w:t>
      </w:r>
    </w:p>
    <w:p w14:paraId="3A9FC679" w14:textId="04FCD621" w:rsidR="00C10FB0" w:rsidRPr="00D44224" w:rsidRDefault="00C10FB0" w:rsidP="00607E60">
      <w:pPr>
        <w:rPr>
          <w:rFonts w:cs="Arial"/>
        </w:rPr>
      </w:pPr>
    </w:p>
    <w:sectPr w:rsidR="00C10FB0" w:rsidRPr="00D44224" w:rsidSect="009C4950">
      <w:pgSz w:w="11906" w:h="16838"/>
      <w:pgMar w:top="127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2341E"/>
    <w:multiLevelType w:val="hybridMultilevel"/>
    <w:tmpl w:val="4186115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4105C1C"/>
    <w:multiLevelType w:val="hybridMultilevel"/>
    <w:tmpl w:val="EFE02BB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96D2198"/>
    <w:multiLevelType w:val="hybridMultilevel"/>
    <w:tmpl w:val="E01E8E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364C47A6"/>
    <w:multiLevelType w:val="hybridMultilevel"/>
    <w:tmpl w:val="787A6540"/>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3F1B214F"/>
    <w:multiLevelType w:val="multilevel"/>
    <w:tmpl w:val="2F9E1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5D769D3"/>
    <w:multiLevelType w:val="hybridMultilevel"/>
    <w:tmpl w:val="0BAC063C"/>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D9722DB"/>
    <w:multiLevelType w:val="hybridMultilevel"/>
    <w:tmpl w:val="EDFED0E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5DF54983"/>
    <w:multiLevelType w:val="multilevel"/>
    <w:tmpl w:val="BD0056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07688616">
    <w:abstractNumId w:val="5"/>
  </w:num>
  <w:num w:numId="2" w16cid:durableId="72898953">
    <w:abstractNumId w:val="3"/>
  </w:num>
  <w:num w:numId="3" w16cid:durableId="376701918">
    <w:abstractNumId w:val="1"/>
  </w:num>
  <w:num w:numId="4" w16cid:durableId="1601452619">
    <w:abstractNumId w:val="0"/>
  </w:num>
  <w:num w:numId="5" w16cid:durableId="883446950">
    <w:abstractNumId w:val="2"/>
  </w:num>
  <w:num w:numId="6" w16cid:durableId="362630490">
    <w:abstractNumId w:val="7"/>
  </w:num>
  <w:num w:numId="7" w16cid:durableId="334766000">
    <w:abstractNumId w:val="4"/>
  </w:num>
  <w:num w:numId="8" w16cid:durableId="137993776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94E"/>
    <w:rsid w:val="00110197"/>
    <w:rsid w:val="00164237"/>
    <w:rsid w:val="002122E4"/>
    <w:rsid w:val="0026394E"/>
    <w:rsid w:val="002E6783"/>
    <w:rsid w:val="003330F0"/>
    <w:rsid w:val="0035258B"/>
    <w:rsid w:val="003A5F50"/>
    <w:rsid w:val="00475E05"/>
    <w:rsid w:val="00607E60"/>
    <w:rsid w:val="00616486"/>
    <w:rsid w:val="00624F3B"/>
    <w:rsid w:val="00654137"/>
    <w:rsid w:val="00693731"/>
    <w:rsid w:val="006A73A1"/>
    <w:rsid w:val="006B42FF"/>
    <w:rsid w:val="006D75D1"/>
    <w:rsid w:val="007911B9"/>
    <w:rsid w:val="007A1E4D"/>
    <w:rsid w:val="007C10ED"/>
    <w:rsid w:val="007D50AD"/>
    <w:rsid w:val="007F3CC8"/>
    <w:rsid w:val="00811036"/>
    <w:rsid w:val="008A32BB"/>
    <w:rsid w:val="008A6703"/>
    <w:rsid w:val="008E22AB"/>
    <w:rsid w:val="00952ACE"/>
    <w:rsid w:val="009B3BE3"/>
    <w:rsid w:val="009C4950"/>
    <w:rsid w:val="00A7058D"/>
    <w:rsid w:val="00A74CA1"/>
    <w:rsid w:val="00B11F7F"/>
    <w:rsid w:val="00B242C1"/>
    <w:rsid w:val="00B3550A"/>
    <w:rsid w:val="00B473F4"/>
    <w:rsid w:val="00BB5A56"/>
    <w:rsid w:val="00BF3502"/>
    <w:rsid w:val="00C10FB0"/>
    <w:rsid w:val="00C4774D"/>
    <w:rsid w:val="00C5142C"/>
    <w:rsid w:val="00C65285"/>
    <w:rsid w:val="00D1680E"/>
    <w:rsid w:val="00D44224"/>
    <w:rsid w:val="00D61ACD"/>
    <w:rsid w:val="00DA1E7A"/>
    <w:rsid w:val="00DF77F0"/>
    <w:rsid w:val="00E203C8"/>
    <w:rsid w:val="00EF2952"/>
    <w:rsid w:val="00FE1DA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92F1F"/>
  <w15:chartTrackingRefBased/>
  <w15:docId w15:val="{76BDD5C3-03BE-43EF-B4AB-31D45E399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2639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2639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26394E"/>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26394E"/>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26394E"/>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26394E"/>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26394E"/>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26394E"/>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26394E"/>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26394E"/>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26394E"/>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26394E"/>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26394E"/>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26394E"/>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26394E"/>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26394E"/>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26394E"/>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26394E"/>
    <w:rPr>
      <w:rFonts w:eastAsiaTheme="majorEastAsia" w:cstheme="majorBidi"/>
      <w:color w:val="272727" w:themeColor="text1" w:themeTint="D8"/>
    </w:rPr>
  </w:style>
  <w:style w:type="paragraph" w:styleId="Nzov">
    <w:name w:val="Title"/>
    <w:basedOn w:val="Normlny"/>
    <w:next w:val="Normlny"/>
    <w:link w:val="NzovChar"/>
    <w:uiPriority w:val="10"/>
    <w:qFormat/>
    <w:rsid w:val="002639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26394E"/>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26394E"/>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26394E"/>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26394E"/>
    <w:pPr>
      <w:spacing w:before="160"/>
      <w:jc w:val="center"/>
    </w:pPr>
    <w:rPr>
      <w:i/>
      <w:iCs/>
      <w:color w:val="404040" w:themeColor="text1" w:themeTint="BF"/>
    </w:rPr>
  </w:style>
  <w:style w:type="character" w:customStyle="1" w:styleId="CitciaChar">
    <w:name w:val="Citácia Char"/>
    <w:basedOn w:val="Predvolenpsmoodseku"/>
    <w:link w:val="Citcia"/>
    <w:uiPriority w:val="29"/>
    <w:rsid w:val="0026394E"/>
    <w:rPr>
      <w:i/>
      <w:iCs/>
      <w:color w:val="404040" w:themeColor="text1" w:themeTint="BF"/>
    </w:rPr>
  </w:style>
  <w:style w:type="paragraph" w:styleId="Odsekzoznamu">
    <w:name w:val="List Paragraph"/>
    <w:basedOn w:val="Normlny"/>
    <w:uiPriority w:val="34"/>
    <w:qFormat/>
    <w:rsid w:val="0026394E"/>
    <w:pPr>
      <w:ind w:left="720"/>
      <w:contextualSpacing/>
    </w:pPr>
  </w:style>
  <w:style w:type="character" w:styleId="Intenzvnezvraznenie">
    <w:name w:val="Intense Emphasis"/>
    <w:basedOn w:val="Predvolenpsmoodseku"/>
    <w:uiPriority w:val="21"/>
    <w:qFormat/>
    <w:rsid w:val="0026394E"/>
    <w:rPr>
      <w:i/>
      <w:iCs/>
      <w:color w:val="0F4761" w:themeColor="accent1" w:themeShade="BF"/>
    </w:rPr>
  </w:style>
  <w:style w:type="paragraph" w:styleId="Zvraznencitcia">
    <w:name w:val="Intense Quote"/>
    <w:basedOn w:val="Normlny"/>
    <w:next w:val="Normlny"/>
    <w:link w:val="ZvraznencitciaChar"/>
    <w:uiPriority w:val="30"/>
    <w:qFormat/>
    <w:rsid w:val="002639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26394E"/>
    <w:rPr>
      <w:i/>
      <w:iCs/>
      <w:color w:val="0F4761" w:themeColor="accent1" w:themeShade="BF"/>
    </w:rPr>
  </w:style>
  <w:style w:type="character" w:styleId="Zvraznenodkaz">
    <w:name w:val="Intense Reference"/>
    <w:basedOn w:val="Predvolenpsmoodseku"/>
    <w:uiPriority w:val="32"/>
    <w:qFormat/>
    <w:rsid w:val="0026394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50C5A97E0317942A68621B66FE4FDD2" ma:contentTypeVersion="15" ma:contentTypeDescription="Umožňuje vytvoriť nový dokument." ma:contentTypeScope="" ma:versionID="447b83798df2a757d62ed0038a8bf7bb">
  <xsd:schema xmlns:xsd="http://www.w3.org/2001/XMLSchema" xmlns:xs="http://www.w3.org/2001/XMLSchema" xmlns:p="http://schemas.microsoft.com/office/2006/metadata/properties" xmlns:ns2="69fbdda3-5bd1-4c59-9ab1-562328807cd5" xmlns:ns3="dcdc0373-4c26-45aa-a942-86bb0919d41d" targetNamespace="http://schemas.microsoft.com/office/2006/metadata/properties" ma:root="true" ma:fieldsID="fe5a51595ef9ad514d7a48a96bbee1f7" ns2:_="" ns3:_="">
    <xsd:import namespace="69fbdda3-5bd1-4c59-9ab1-562328807cd5"/>
    <xsd:import namespace="dcdc0373-4c26-45aa-a942-86bb0919d41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fbdda3-5bd1-4c59-9ab1-562328807c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Značky obrázka" ma:readOnly="false" ma:fieldId="{5cf76f15-5ced-4ddc-b409-7134ff3c332f}" ma:taxonomyMulti="true" ma:sspId="8db7f228-e983-4e80-99d7-2214a0f7b6c6"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dc0373-4c26-45aa-a942-86bb0919d41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5f9624b-19d8-490f-9151-a5ad2d17873b}" ma:internalName="TaxCatchAll" ma:showField="CatchAllData" ma:web="dcdc0373-4c26-45aa-a942-86bb0919d41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9fbdda3-5bd1-4c59-9ab1-562328807cd5">
      <Terms xmlns="http://schemas.microsoft.com/office/infopath/2007/PartnerControls"/>
    </lcf76f155ced4ddcb4097134ff3c332f>
    <TaxCatchAll xmlns="dcdc0373-4c26-45aa-a942-86bb0919d41d" xsi:nil="true"/>
  </documentManagement>
</p:properties>
</file>

<file path=customXml/itemProps1.xml><?xml version="1.0" encoding="utf-8"?>
<ds:datastoreItem xmlns:ds="http://schemas.openxmlformats.org/officeDocument/2006/customXml" ds:itemID="{400C327B-632B-45DE-96B3-29A189EF98EE}"/>
</file>

<file path=customXml/itemProps2.xml><?xml version="1.0" encoding="utf-8"?>
<ds:datastoreItem xmlns:ds="http://schemas.openxmlformats.org/officeDocument/2006/customXml" ds:itemID="{1B086F35-C0A8-4696-A0BD-23D510C6C1A2}"/>
</file>

<file path=customXml/itemProps3.xml><?xml version="1.0" encoding="utf-8"?>
<ds:datastoreItem xmlns:ds="http://schemas.openxmlformats.org/officeDocument/2006/customXml" ds:itemID="{B2EC4ED6-6D53-4685-9237-81DE5AFE93EF}"/>
</file>

<file path=docProps/app.xml><?xml version="1.0" encoding="utf-8"?>
<Properties xmlns="http://schemas.openxmlformats.org/officeDocument/2006/extended-properties" xmlns:vt="http://schemas.openxmlformats.org/officeDocument/2006/docPropsVTypes">
  <Template>Normal</Template>
  <TotalTime>38</TotalTime>
  <Pages>3</Pages>
  <Words>697</Words>
  <Characters>3973</Characters>
  <Application>Microsoft Office Word</Application>
  <DocSecurity>0</DocSecurity>
  <Lines>33</Lines>
  <Paragraphs>9</Paragraphs>
  <ScaleCrop>false</ScaleCrop>
  <Company/>
  <LinksUpToDate>false</LinksUpToDate>
  <CharactersWithSpaces>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Šimiková</dc:creator>
  <cp:keywords/>
  <dc:description/>
  <cp:lastModifiedBy>Marcela Šimiková</cp:lastModifiedBy>
  <cp:revision>46</cp:revision>
  <dcterms:created xsi:type="dcterms:W3CDTF">2026-07-29T07:45:00Z</dcterms:created>
  <dcterms:modified xsi:type="dcterms:W3CDTF">2026-07-29T08:26:00Z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0x010100450C5A97E0317942A68621B66FE4FDD2</vt:lpwstr>
  </property>
</Properties>
</file>